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6804"/>
      </w:tblGrid>
      <w:tr w:rsidR="006F740B" w:rsidRPr="00F73A20" w14:paraId="647E0D82" w14:textId="77777777" w:rsidTr="00C7546E">
        <w:trPr>
          <w:trHeight w:val="14041"/>
        </w:trPr>
        <w:tc>
          <w:tcPr>
            <w:tcW w:w="3794" w:type="dxa"/>
          </w:tcPr>
          <w:p w14:paraId="0AA6B211" w14:textId="77777777" w:rsidR="006F740B" w:rsidRDefault="00C7546E">
            <w:pPr>
              <w:rPr>
                <w:rFonts w:ascii="Myriad Pro" w:hAnsi="Myriad Pro"/>
                <w:sz w:val="14"/>
                <w:szCs w:val="18"/>
              </w:rPr>
            </w:pPr>
            <w:r>
              <w:rPr>
                <w:noProof/>
              </w:rPr>
              <w:drawing>
                <wp:inline distT="0" distB="0" distL="0" distR="0" wp14:anchorId="6CF78898" wp14:editId="11F3FC1D">
                  <wp:extent cx="1695450" cy="38951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96583" cy="3897795"/>
                          </a:xfrm>
                          <a:prstGeom prst="rect">
                            <a:avLst/>
                          </a:prstGeom>
                        </pic:spPr>
                      </pic:pic>
                    </a:graphicData>
                  </a:graphic>
                </wp:inline>
              </w:drawing>
            </w:r>
          </w:p>
          <w:p w14:paraId="3809E322" w14:textId="77777777" w:rsidR="00C7546E" w:rsidRPr="00691D04" w:rsidRDefault="00C7546E">
            <w:pPr>
              <w:rPr>
                <w:rFonts w:ascii="Myriad Pro" w:hAnsi="Myriad Pro"/>
                <w:sz w:val="14"/>
                <w:szCs w:val="18"/>
              </w:rPr>
            </w:pPr>
            <w:r>
              <w:rPr>
                <w:noProof/>
              </w:rPr>
              <w:drawing>
                <wp:inline distT="0" distB="0" distL="0" distR="0" wp14:anchorId="0A5A0B94" wp14:editId="250CCD83">
                  <wp:extent cx="1593577" cy="2717800"/>
                  <wp:effectExtent l="0" t="0" r="698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5915" cy="2721787"/>
                          </a:xfrm>
                          <a:prstGeom prst="rect">
                            <a:avLst/>
                          </a:prstGeom>
                        </pic:spPr>
                      </pic:pic>
                    </a:graphicData>
                  </a:graphic>
                </wp:inline>
              </w:drawing>
            </w:r>
          </w:p>
          <w:p w14:paraId="6E5B6897" w14:textId="77777777" w:rsidR="006F740B" w:rsidRDefault="006F740B" w:rsidP="00E81ADD">
            <w:pPr>
              <w:jc w:val="center"/>
              <w:rPr>
                <w:rFonts w:ascii="Myriad Pro" w:hAnsi="Myriad Pro"/>
                <w:sz w:val="14"/>
                <w:szCs w:val="18"/>
              </w:rPr>
            </w:pPr>
          </w:p>
          <w:p w14:paraId="43C84F82" w14:textId="77777777" w:rsidR="00E81ADD" w:rsidRDefault="00E81ADD">
            <w:pPr>
              <w:rPr>
                <w:rFonts w:ascii="Myriad Pro" w:hAnsi="Myriad Pro"/>
                <w:sz w:val="14"/>
                <w:szCs w:val="18"/>
              </w:rPr>
            </w:pPr>
          </w:p>
          <w:p w14:paraId="769F025E" w14:textId="77777777" w:rsidR="00E81ADD" w:rsidRPr="00691D04" w:rsidRDefault="00E81ADD" w:rsidP="00E81ADD">
            <w:pPr>
              <w:jc w:val="center"/>
              <w:rPr>
                <w:rFonts w:ascii="Myriad Pro" w:hAnsi="Myriad Pro"/>
                <w:sz w:val="14"/>
                <w:szCs w:val="18"/>
              </w:rPr>
            </w:pPr>
            <w:r>
              <w:rPr>
                <w:noProof/>
              </w:rPr>
              <w:drawing>
                <wp:inline distT="0" distB="0" distL="0" distR="0" wp14:anchorId="71F41379" wp14:editId="3B9BEF3C">
                  <wp:extent cx="1179095" cy="622300"/>
                  <wp:effectExtent l="0" t="0" r="254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3182" cy="624457"/>
                          </a:xfrm>
                          <a:prstGeom prst="rect">
                            <a:avLst/>
                          </a:prstGeom>
                        </pic:spPr>
                      </pic:pic>
                    </a:graphicData>
                  </a:graphic>
                </wp:inline>
              </w:drawing>
            </w:r>
          </w:p>
        </w:tc>
        <w:tc>
          <w:tcPr>
            <w:tcW w:w="6804" w:type="dxa"/>
          </w:tcPr>
          <w:p w14:paraId="4D2ACFAD" w14:textId="77777777" w:rsidR="00DD4E6F" w:rsidRPr="00A57FE1" w:rsidRDefault="00C7546E" w:rsidP="00DD4E6F">
            <w:pPr>
              <w:autoSpaceDE w:val="0"/>
              <w:autoSpaceDN w:val="0"/>
              <w:adjustRightInd w:val="0"/>
              <w:jc w:val="center"/>
              <w:rPr>
                <w:rFonts w:eastAsia="MyriadPro-Bold" w:cstheme="minorHAnsi"/>
                <w:b/>
                <w:bCs/>
                <w:sz w:val="18"/>
                <w:szCs w:val="18"/>
              </w:rPr>
            </w:pPr>
            <w:r>
              <w:rPr>
                <w:b/>
                <w:sz w:val="18"/>
              </w:rPr>
              <w:t>C271E</w:t>
            </w:r>
          </w:p>
          <w:p w14:paraId="7E6DFFAD" w14:textId="77777777" w:rsidR="00DD4E6F" w:rsidRPr="005B77D9" w:rsidRDefault="00DD4E6F" w:rsidP="00DD4E6F">
            <w:pPr>
              <w:autoSpaceDE w:val="0"/>
              <w:autoSpaceDN w:val="0"/>
              <w:adjustRightInd w:val="0"/>
              <w:rPr>
                <w:rFonts w:eastAsia="MyriadPro-Regular" w:cstheme="minorHAnsi"/>
                <w:sz w:val="18"/>
                <w:szCs w:val="18"/>
                <w:lang w:eastAsia="en-US" w:bidi="ar-SA"/>
              </w:rPr>
            </w:pPr>
          </w:p>
          <w:p w14:paraId="5CF69C43" w14:textId="77777777" w:rsidR="00C7546E" w:rsidRPr="00C7546E" w:rsidRDefault="00C7546E" w:rsidP="00C7546E">
            <w:pPr>
              <w:autoSpaceDE w:val="0"/>
              <w:autoSpaceDN w:val="0"/>
              <w:adjustRightInd w:val="0"/>
              <w:rPr>
                <w:rFonts w:eastAsia="MyriadPro-Regular" w:cstheme="minorHAnsi"/>
                <w:sz w:val="18"/>
                <w:szCs w:val="18"/>
              </w:rPr>
            </w:pPr>
            <w:r>
              <w:rPr>
                <w:sz w:val="18"/>
              </w:rPr>
              <w:t>PREDTÝM SI PREŠTUDUJTE BEZPEČNOSTNÉ POKYNY.</w:t>
            </w:r>
          </w:p>
          <w:p w14:paraId="7BD59F76" w14:textId="77777777" w:rsidR="00C7546E" w:rsidRPr="005B77D9" w:rsidRDefault="00C7546E" w:rsidP="00C7546E">
            <w:pPr>
              <w:autoSpaceDE w:val="0"/>
              <w:autoSpaceDN w:val="0"/>
              <w:adjustRightInd w:val="0"/>
              <w:rPr>
                <w:rFonts w:eastAsia="MyriadPro-Regular" w:cstheme="minorHAnsi"/>
                <w:sz w:val="18"/>
                <w:szCs w:val="18"/>
                <w:lang w:eastAsia="en-US" w:bidi="ar-SA"/>
              </w:rPr>
            </w:pPr>
          </w:p>
          <w:p w14:paraId="4D536C00" w14:textId="77777777" w:rsidR="00C7546E" w:rsidRPr="00C7546E" w:rsidRDefault="00C7546E" w:rsidP="00C7546E">
            <w:pPr>
              <w:autoSpaceDE w:val="0"/>
              <w:autoSpaceDN w:val="0"/>
              <w:adjustRightInd w:val="0"/>
              <w:rPr>
                <w:rFonts w:eastAsia="MyriadPro-Regular" w:cstheme="minorHAnsi"/>
                <w:b/>
                <w:bCs/>
                <w:sz w:val="18"/>
                <w:szCs w:val="18"/>
              </w:rPr>
            </w:pPr>
            <w:r>
              <w:rPr>
                <w:b/>
                <w:sz w:val="18"/>
              </w:rPr>
              <w:t>VLASTNOSTI PRODUKTU</w:t>
            </w:r>
          </w:p>
          <w:p w14:paraId="146318D7" w14:textId="77777777" w:rsidR="00C7546E" w:rsidRPr="00C7546E" w:rsidRDefault="00C7546E" w:rsidP="00C7546E">
            <w:pPr>
              <w:autoSpaceDE w:val="0"/>
              <w:autoSpaceDN w:val="0"/>
              <w:adjustRightInd w:val="0"/>
              <w:rPr>
                <w:rFonts w:eastAsia="MyriadPro-Regular" w:cstheme="minorHAnsi"/>
                <w:sz w:val="18"/>
                <w:szCs w:val="18"/>
              </w:rPr>
            </w:pPr>
            <w:r>
              <w:rPr>
                <w:sz w:val="18"/>
              </w:rPr>
              <w:t>1. Kulma na vlasy 16 mm</w:t>
            </w:r>
          </w:p>
          <w:p w14:paraId="38BCA59B" w14:textId="77777777" w:rsidR="00C7546E" w:rsidRPr="00C7546E" w:rsidRDefault="00C7546E" w:rsidP="00C7546E">
            <w:pPr>
              <w:autoSpaceDE w:val="0"/>
              <w:autoSpaceDN w:val="0"/>
              <w:adjustRightInd w:val="0"/>
              <w:rPr>
                <w:rFonts w:eastAsia="MyriadPro-Regular" w:cstheme="minorHAnsi"/>
                <w:sz w:val="18"/>
                <w:szCs w:val="18"/>
              </w:rPr>
            </w:pPr>
            <w:r>
              <w:rPr>
                <w:sz w:val="18"/>
              </w:rPr>
              <w:t>2. Nasadzovacia kefa</w:t>
            </w:r>
          </w:p>
          <w:p w14:paraId="3829F94F" w14:textId="77777777" w:rsidR="00C7546E" w:rsidRPr="00C7546E" w:rsidRDefault="00C7546E" w:rsidP="00C7546E">
            <w:pPr>
              <w:autoSpaceDE w:val="0"/>
              <w:autoSpaceDN w:val="0"/>
              <w:adjustRightInd w:val="0"/>
              <w:rPr>
                <w:rFonts w:eastAsia="MyriadPro-Regular" w:cstheme="minorHAnsi"/>
                <w:sz w:val="18"/>
                <w:szCs w:val="18"/>
              </w:rPr>
            </w:pPr>
            <w:r>
              <w:rPr>
                <w:sz w:val="18"/>
              </w:rPr>
              <w:t>3. Povrchová úprava Satin Touch</w:t>
            </w:r>
          </w:p>
          <w:p w14:paraId="3D4E28E9" w14:textId="77777777" w:rsidR="00C7546E" w:rsidRPr="00C7546E" w:rsidRDefault="00C7546E" w:rsidP="00C7546E">
            <w:pPr>
              <w:autoSpaceDE w:val="0"/>
              <w:autoSpaceDN w:val="0"/>
              <w:adjustRightInd w:val="0"/>
              <w:rPr>
                <w:rFonts w:eastAsia="MyriadPro-Regular" w:cstheme="minorHAnsi"/>
                <w:sz w:val="18"/>
                <w:szCs w:val="18"/>
              </w:rPr>
            </w:pPr>
            <w:r>
              <w:rPr>
                <w:sz w:val="18"/>
              </w:rPr>
              <w:t>4. Integrovaná podpora</w:t>
            </w:r>
          </w:p>
          <w:p w14:paraId="7A844AFB" w14:textId="77777777" w:rsidR="00C7546E" w:rsidRPr="00C7546E" w:rsidRDefault="00C7546E" w:rsidP="00C7546E">
            <w:pPr>
              <w:autoSpaceDE w:val="0"/>
              <w:autoSpaceDN w:val="0"/>
              <w:adjustRightInd w:val="0"/>
              <w:rPr>
                <w:rFonts w:eastAsia="MyriadPro-Regular" w:cstheme="minorHAnsi"/>
                <w:sz w:val="18"/>
                <w:szCs w:val="18"/>
              </w:rPr>
            </w:pPr>
            <w:r>
              <w:rPr>
                <w:sz w:val="18"/>
              </w:rPr>
              <w:t>5. Spínač O/I</w:t>
            </w:r>
          </w:p>
          <w:p w14:paraId="403D854E" w14:textId="77777777" w:rsidR="00C7546E" w:rsidRPr="00C7546E" w:rsidRDefault="00C7546E" w:rsidP="00C7546E">
            <w:pPr>
              <w:autoSpaceDE w:val="0"/>
              <w:autoSpaceDN w:val="0"/>
              <w:adjustRightInd w:val="0"/>
              <w:rPr>
                <w:rFonts w:eastAsia="MyriadPro-Regular" w:cstheme="minorHAnsi"/>
                <w:sz w:val="18"/>
                <w:szCs w:val="18"/>
              </w:rPr>
            </w:pPr>
            <w:r>
              <w:rPr>
                <w:sz w:val="18"/>
              </w:rPr>
              <w:t>6. Kontrolka prevádzky</w:t>
            </w:r>
          </w:p>
          <w:p w14:paraId="132FE093" w14:textId="77777777" w:rsidR="00C7546E" w:rsidRPr="00C7546E" w:rsidRDefault="00C7546E" w:rsidP="00C7546E">
            <w:pPr>
              <w:autoSpaceDE w:val="0"/>
              <w:autoSpaceDN w:val="0"/>
              <w:adjustRightInd w:val="0"/>
              <w:rPr>
                <w:rFonts w:eastAsia="MyriadPro-Regular" w:cstheme="minorHAnsi"/>
                <w:sz w:val="18"/>
                <w:szCs w:val="18"/>
              </w:rPr>
            </w:pPr>
            <w:r>
              <w:rPr>
                <w:sz w:val="18"/>
              </w:rPr>
              <w:t>7. Izolačná koncovka</w:t>
            </w:r>
          </w:p>
          <w:p w14:paraId="2EC715B6" w14:textId="77777777" w:rsidR="00C7546E" w:rsidRPr="005B77D9" w:rsidRDefault="00C7546E" w:rsidP="00C7546E">
            <w:pPr>
              <w:autoSpaceDE w:val="0"/>
              <w:autoSpaceDN w:val="0"/>
              <w:adjustRightInd w:val="0"/>
              <w:rPr>
                <w:rFonts w:eastAsia="MyriadPro-Regular" w:cstheme="minorHAnsi"/>
                <w:sz w:val="18"/>
                <w:szCs w:val="18"/>
                <w:lang w:eastAsia="en-US" w:bidi="ar-SA"/>
              </w:rPr>
            </w:pPr>
          </w:p>
          <w:p w14:paraId="2698A456" w14:textId="77777777" w:rsidR="00C7546E" w:rsidRPr="00C7546E" w:rsidRDefault="00C7546E" w:rsidP="00C7546E">
            <w:pPr>
              <w:autoSpaceDE w:val="0"/>
              <w:autoSpaceDN w:val="0"/>
              <w:adjustRightInd w:val="0"/>
              <w:jc w:val="center"/>
              <w:rPr>
                <w:rFonts w:eastAsia="MyriadPro-Regular" w:cstheme="minorHAnsi"/>
                <w:b/>
                <w:bCs/>
                <w:sz w:val="18"/>
                <w:szCs w:val="18"/>
              </w:rPr>
            </w:pPr>
            <w:r>
              <w:rPr>
                <w:b/>
                <w:sz w:val="18"/>
              </w:rPr>
              <w:t>POUŽITIE</w:t>
            </w:r>
          </w:p>
          <w:p w14:paraId="48E53A14" w14:textId="77777777" w:rsidR="00C7546E" w:rsidRPr="00C7546E" w:rsidRDefault="00C7546E" w:rsidP="00C7546E">
            <w:pPr>
              <w:autoSpaceDE w:val="0"/>
              <w:autoSpaceDN w:val="0"/>
              <w:adjustRightInd w:val="0"/>
              <w:rPr>
                <w:rFonts w:eastAsia="MyriadPro-Regular" w:cstheme="minorHAnsi"/>
                <w:sz w:val="18"/>
                <w:szCs w:val="18"/>
              </w:rPr>
            </w:pPr>
            <w:r>
              <w:rPr>
                <w:sz w:val="18"/>
              </w:rPr>
              <w:t>Pripojte spotrebič a nastavte prepínač na I. Kontrolka sa rozsvieti. Nechajte niekoľko minút zohrievať. Keď sa bodka indikátora teploty na vykurovacej trubici zmení na bielu, zariadenie dosiahlo ideálnu teplotu. Dávajte pozor, aby ste sa počas používania nedotkli vykurovacej trubice.</w:t>
            </w:r>
          </w:p>
          <w:p w14:paraId="1CF1EC02" w14:textId="77777777" w:rsidR="00C7546E" w:rsidRPr="005B77D9" w:rsidRDefault="00C7546E" w:rsidP="00C7546E">
            <w:pPr>
              <w:autoSpaceDE w:val="0"/>
              <w:autoSpaceDN w:val="0"/>
              <w:adjustRightInd w:val="0"/>
              <w:rPr>
                <w:rFonts w:eastAsia="MyriadPro-Regular" w:cstheme="minorHAnsi"/>
                <w:sz w:val="18"/>
                <w:szCs w:val="18"/>
                <w:lang w:eastAsia="en-US" w:bidi="ar-SA"/>
              </w:rPr>
            </w:pPr>
          </w:p>
          <w:p w14:paraId="07F7BAEF" w14:textId="77777777" w:rsidR="00C7546E" w:rsidRPr="00C7546E" w:rsidRDefault="00C7546E" w:rsidP="00C7546E">
            <w:pPr>
              <w:autoSpaceDE w:val="0"/>
              <w:autoSpaceDN w:val="0"/>
              <w:adjustRightInd w:val="0"/>
              <w:jc w:val="center"/>
              <w:rPr>
                <w:rFonts w:eastAsia="MyriadPro-Regular" w:cstheme="minorHAnsi"/>
                <w:b/>
                <w:bCs/>
                <w:sz w:val="18"/>
                <w:szCs w:val="18"/>
              </w:rPr>
            </w:pPr>
            <w:r>
              <w:rPr>
                <w:b/>
                <w:sz w:val="18"/>
              </w:rPr>
              <w:t>Kulma na vlasy</w:t>
            </w:r>
          </w:p>
          <w:p w14:paraId="45CB0AC3" w14:textId="77777777" w:rsidR="00C7546E" w:rsidRPr="00C7546E" w:rsidRDefault="00C7546E" w:rsidP="00C7546E">
            <w:pPr>
              <w:autoSpaceDE w:val="0"/>
              <w:autoSpaceDN w:val="0"/>
              <w:adjustRightInd w:val="0"/>
              <w:rPr>
                <w:rFonts w:eastAsia="MyriadPro-Regular" w:cstheme="minorHAnsi"/>
                <w:sz w:val="18"/>
                <w:szCs w:val="18"/>
              </w:rPr>
            </w:pPr>
            <w:r>
              <w:rPr>
                <w:sz w:val="18"/>
              </w:rPr>
              <w:t>• Používajte na suché alebo takmer suché vlasy. Rozdeľte vlasy na rovnaké pramene a pred natáčaním ich prečešte. Stlačte páčku na svorke, umiestnite žehličku do polovice prameňa vlasov a rovnomerne rozložte vlasy medzi svorku a trubicu. Jemne vytiahnite kulmu až ku koncu vlasov.</w:t>
            </w:r>
          </w:p>
          <w:p w14:paraId="1968AD90" w14:textId="77777777" w:rsidR="00C7546E" w:rsidRPr="00C7546E" w:rsidRDefault="00C7546E" w:rsidP="00C7546E">
            <w:pPr>
              <w:autoSpaceDE w:val="0"/>
              <w:autoSpaceDN w:val="0"/>
              <w:adjustRightInd w:val="0"/>
              <w:rPr>
                <w:rFonts w:eastAsia="MyriadPro-Regular" w:cstheme="minorHAnsi"/>
                <w:sz w:val="18"/>
                <w:szCs w:val="18"/>
              </w:rPr>
            </w:pPr>
            <w:r>
              <w:rPr>
                <w:sz w:val="18"/>
              </w:rPr>
              <w:t>• Aby ste sa vyhli krepovateniu, dbajte na to, aby boli vlasy pod sponou natočené v smere, v ktorom chcete, aby sa natáčali. Umiestnite sponu na hornú časť prameňa a natočte vlasy dovnútra. Ak chcete vlasy natočiť smerom von, umiestnite kliešte pod pramienok.</w:t>
            </w:r>
          </w:p>
          <w:p w14:paraId="5FD7352B" w14:textId="77777777" w:rsidR="00C7546E" w:rsidRPr="00C7546E" w:rsidRDefault="00C7546E" w:rsidP="00C7546E">
            <w:pPr>
              <w:autoSpaceDE w:val="0"/>
              <w:autoSpaceDN w:val="0"/>
              <w:adjustRightInd w:val="0"/>
              <w:rPr>
                <w:rFonts w:eastAsia="MyriadPro-Regular" w:cstheme="minorHAnsi"/>
                <w:sz w:val="18"/>
                <w:szCs w:val="18"/>
              </w:rPr>
            </w:pPr>
            <w:r>
              <w:rPr>
                <w:sz w:val="18"/>
              </w:rPr>
              <w:t>• Vlasy natočte na miesto, kde sa začnú natáčať, pričom dávajte pozor, aby ste sa žehličkou nedotkli pokožky hlavy. V závislosti od štruktúry a dĺžky vlasov podržte žehličku na mieste niekoľko sekúnd. Odvíjajte vlasy, keď sú na dotyk teplé (nie horúce). Ak chcete pevnejšie a pružnejšie kučery, zabalte vždy len malé množstvo vlasov. Ak chcete voľnejšie a nadýchanejšie kučery, natočte viac vlasov.</w:t>
            </w:r>
          </w:p>
          <w:p w14:paraId="5E1F93E0" w14:textId="77777777" w:rsidR="00C7546E" w:rsidRPr="00C7546E" w:rsidRDefault="00C7546E" w:rsidP="00C7546E">
            <w:pPr>
              <w:autoSpaceDE w:val="0"/>
              <w:autoSpaceDN w:val="0"/>
              <w:adjustRightInd w:val="0"/>
              <w:rPr>
                <w:rFonts w:eastAsia="MyriadPro-Regular" w:cstheme="minorHAnsi"/>
                <w:sz w:val="18"/>
                <w:szCs w:val="18"/>
              </w:rPr>
            </w:pPr>
            <w:r>
              <w:rPr>
                <w:sz w:val="18"/>
              </w:rPr>
              <w:t>• Ak chcete kulmu vybrať, stlačte páčku na kliešťach a odsuňte ju. Ak chcete kučeru „nastaviť“, počkajte, kým vlasy pred česaním alebo rozčesávaním vychladnú.</w:t>
            </w:r>
          </w:p>
          <w:p w14:paraId="7C78EFBB" w14:textId="77777777" w:rsidR="00C7546E" w:rsidRPr="005B77D9" w:rsidRDefault="00C7546E" w:rsidP="00C7546E">
            <w:pPr>
              <w:autoSpaceDE w:val="0"/>
              <w:autoSpaceDN w:val="0"/>
              <w:adjustRightInd w:val="0"/>
              <w:rPr>
                <w:rFonts w:eastAsia="MyriadPro-Regular" w:cstheme="minorHAnsi"/>
                <w:sz w:val="18"/>
                <w:szCs w:val="18"/>
                <w:lang w:eastAsia="en-US" w:bidi="ar-SA"/>
              </w:rPr>
            </w:pPr>
          </w:p>
          <w:p w14:paraId="4691E6B3" w14:textId="77777777" w:rsidR="00C7546E" w:rsidRPr="00C7546E" w:rsidRDefault="00C7546E" w:rsidP="00C7546E">
            <w:pPr>
              <w:autoSpaceDE w:val="0"/>
              <w:autoSpaceDN w:val="0"/>
              <w:adjustRightInd w:val="0"/>
              <w:jc w:val="center"/>
              <w:rPr>
                <w:rFonts w:eastAsia="MyriadPro-Regular" w:cstheme="minorHAnsi"/>
                <w:b/>
                <w:bCs/>
                <w:sz w:val="18"/>
                <w:szCs w:val="18"/>
              </w:rPr>
            </w:pPr>
            <w:r>
              <w:rPr>
                <w:b/>
                <w:sz w:val="18"/>
              </w:rPr>
              <w:t>Nasadzovacia kefa</w:t>
            </w:r>
          </w:p>
          <w:p w14:paraId="664C2DFA" w14:textId="77777777" w:rsidR="00C7546E" w:rsidRPr="00C7546E" w:rsidRDefault="00C7546E" w:rsidP="00C7546E">
            <w:pPr>
              <w:autoSpaceDE w:val="0"/>
              <w:autoSpaceDN w:val="0"/>
              <w:adjustRightInd w:val="0"/>
              <w:rPr>
                <w:rFonts w:eastAsia="MyriadPro-Regular" w:cstheme="minorHAnsi"/>
                <w:sz w:val="18"/>
                <w:szCs w:val="18"/>
              </w:rPr>
            </w:pPr>
            <w:r>
              <w:rPr>
                <w:sz w:val="18"/>
              </w:rPr>
              <w:t>Kefa sa dá použiť na vytváranie jemných vĺn a pridávanie objemu. Jednoducho sa nasadí na ohrievaciu trubicu. Zahnutá časť kefy by sa mala nachádzať pred bodom indikátora teploty žehličky.</w:t>
            </w:r>
          </w:p>
          <w:p w14:paraId="138CBE91" w14:textId="77777777" w:rsidR="00C7546E" w:rsidRPr="00C7546E" w:rsidRDefault="00C7546E" w:rsidP="00C7546E">
            <w:pPr>
              <w:autoSpaceDE w:val="0"/>
              <w:autoSpaceDN w:val="0"/>
              <w:adjustRightInd w:val="0"/>
              <w:rPr>
                <w:rFonts w:eastAsia="MyriadPro-Regular" w:cstheme="minorHAnsi"/>
                <w:sz w:val="18"/>
                <w:szCs w:val="18"/>
              </w:rPr>
            </w:pPr>
            <w:r>
              <w:rPr>
                <w:sz w:val="18"/>
              </w:rPr>
              <w:t>• Oddeľte pramienok vlasov. Obtočte prameň okolo kefy a postupujte až ku korienkom, pričom stláčajte tak, aby boli vlasy v kontakte s horúcim valčekom. Na niekoľko sekúnd ho podržte na mieste a opatrne ho rozviňte. Pred úpravou nechajte vlasy úplne vychladnúť.</w:t>
            </w:r>
          </w:p>
          <w:p w14:paraId="197785FD" w14:textId="77777777" w:rsidR="00C7546E" w:rsidRPr="00C7546E" w:rsidRDefault="00C7546E" w:rsidP="00C7546E">
            <w:pPr>
              <w:autoSpaceDE w:val="0"/>
              <w:autoSpaceDN w:val="0"/>
              <w:adjustRightInd w:val="0"/>
              <w:rPr>
                <w:rFonts w:eastAsia="MyriadPro-Regular" w:cstheme="minorHAnsi"/>
                <w:sz w:val="18"/>
                <w:szCs w:val="18"/>
              </w:rPr>
            </w:pPr>
            <w:r>
              <w:rPr>
                <w:sz w:val="18"/>
              </w:rPr>
              <w:t>• Ak chcete vlasy natočiť dovnútra, priložte kefu na spodnú stranu pramienka. Ak chcete vlasy natočiť smerom von, priložte kefu na pramienok.</w:t>
            </w:r>
          </w:p>
          <w:p w14:paraId="195BEF10" w14:textId="77777777" w:rsidR="00C7546E" w:rsidRPr="005B77D9" w:rsidRDefault="00C7546E" w:rsidP="00C7546E">
            <w:pPr>
              <w:autoSpaceDE w:val="0"/>
              <w:autoSpaceDN w:val="0"/>
              <w:adjustRightInd w:val="0"/>
              <w:jc w:val="center"/>
              <w:rPr>
                <w:rFonts w:eastAsia="MyriadPro-Regular" w:cstheme="minorHAnsi"/>
                <w:b/>
                <w:bCs/>
                <w:sz w:val="18"/>
                <w:szCs w:val="18"/>
                <w:lang w:eastAsia="en-US" w:bidi="ar-SA"/>
              </w:rPr>
            </w:pPr>
          </w:p>
          <w:p w14:paraId="76EEFC78" w14:textId="77777777" w:rsidR="00C7546E" w:rsidRPr="00C7546E" w:rsidRDefault="00C7546E" w:rsidP="00C7546E">
            <w:pPr>
              <w:autoSpaceDE w:val="0"/>
              <w:autoSpaceDN w:val="0"/>
              <w:adjustRightInd w:val="0"/>
              <w:jc w:val="center"/>
              <w:rPr>
                <w:rFonts w:eastAsia="MyriadPro-Regular" w:cstheme="minorHAnsi"/>
                <w:b/>
                <w:bCs/>
                <w:sz w:val="18"/>
                <w:szCs w:val="18"/>
              </w:rPr>
            </w:pPr>
            <w:r>
              <w:rPr>
                <w:b/>
                <w:sz w:val="18"/>
              </w:rPr>
              <w:t>ÚDRŽBA</w:t>
            </w:r>
          </w:p>
          <w:p w14:paraId="4958889F" w14:textId="77777777" w:rsidR="00DC3838" w:rsidRPr="00C7546E" w:rsidRDefault="00C7546E" w:rsidP="00C7546E">
            <w:pPr>
              <w:autoSpaceDE w:val="0"/>
              <w:autoSpaceDN w:val="0"/>
              <w:adjustRightInd w:val="0"/>
              <w:rPr>
                <w:rFonts w:eastAsia="MyriadPro-Regular" w:cstheme="minorHAnsi"/>
                <w:sz w:val="18"/>
                <w:szCs w:val="18"/>
              </w:rPr>
            </w:pPr>
            <w:r>
              <w:rPr>
                <w:sz w:val="18"/>
              </w:rPr>
              <w:t>Po vychladnutí a odpojení zo zásuvky môžete žehličku utrieť vlhkou handričkou. Pred opätovným zapojením sa uistite, že je úplne suchý.</w:t>
            </w:r>
          </w:p>
        </w:tc>
      </w:tr>
    </w:tbl>
    <w:p w14:paraId="52D91495" w14:textId="77777777" w:rsidR="00D632AC" w:rsidRPr="00691D04" w:rsidRDefault="00D632AC">
      <w:pPr>
        <w:rPr>
          <w:sz w:val="14"/>
          <w:szCs w:val="18"/>
        </w:rPr>
      </w:pPr>
    </w:p>
    <w:sectPr w:rsidR="00D632AC" w:rsidRPr="00691D04" w:rsidSect="00E81AD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D592" w14:textId="77777777" w:rsidR="006F740B" w:rsidRDefault="006F740B" w:rsidP="006F740B">
      <w:pPr>
        <w:spacing w:after="0" w:line="240" w:lineRule="auto"/>
      </w:pPr>
      <w:r>
        <w:separator/>
      </w:r>
    </w:p>
  </w:endnote>
  <w:endnote w:type="continuationSeparator" w:id="0">
    <w:p w14:paraId="1541EDCF"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Pro-Bold">
    <w:altName w:val="Yu Gothic"/>
    <w:panose1 w:val="00000000000000000000"/>
    <w:charset w:val="80"/>
    <w:family w:val="swiss"/>
    <w:notTrueType/>
    <w:pitch w:val="default"/>
    <w:sig w:usb0="00000001" w:usb1="08070000" w:usb2="00000010" w:usb3="00000000" w:csb0="00020000"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3C5" w14:textId="246914D6" w:rsidR="005B77D9" w:rsidRPr="005B77D9" w:rsidRDefault="005B77D9" w:rsidP="005B77D9">
    <w:pPr>
      <w:rPr>
        <w:rFonts w:ascii="Times New Roman" w:eastAsia="Times New Roman" w:hAnsi="Times New Roman" w:cs="Times New Roman"/>
        <w:sz w:val="24"/>
        <w:szCs w:val="24"/>
        <w:lang w:val="fr-FR" w:eastAsia="fr-FR" w:bidi="ar-SA"/>
      </w:rPr>
    </w:pPr>
    <w:r w:rsidRPr="005B77D9">
      <w:rPr>
        <w:rFonts w:ascii="Times New Roman" w:eastAsia="Times New Roman" w:hAnsi="Times New Roman" w:cs="Times New Roman"/>
        <w:sz w:val="24"/>
        <w:szCs w:val="24"/>
        <w:lang w:val="fr-FR" w:eastAsia="fr-FR" w:bidi="ar-SA"/>
      </w:rPr>
      <w:t>IB070321</w:t>
    </w:r>
  </w:p>
  <w:p w14:paraId="7F4E5799" w14:textId="0878FC06" w:rsidR="005B77D9" w:rsidRDefault="005B77D9">
    <w:pPr>
      <w:pStyle w:val="Pieddepage"/>
    </w:pPr>
  </w:p>
  <w:p w14:paraId="2235D128" w14:textId="77777777" w:rsidR="005B77D9" w:rsidRDefault="005B77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A863" w14:textId="77777777" w:rsidR="006F740B" w:rsidRDefault="006F740B" w:rsidP="006F740B">
      <w:pPr>
        <w:spacing w:after="0" w:line="240" w:lineRule="auto"/>
      </w:pPr>
      <w:r>
        <w:separator/>
      </w:r>
    </w:p>
  </w:footnote>
  <w:footnote w:type="continuationSeparator" w:id="0">
    <w:p w14:paraId="594E7522"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42E79"/>
    <w:rsid w:val="00160AD5"/>
    <w:rsid w:val="002047AE"/>
    <w:rsid w:val="00255E5F"/>
    <w:rsid w:val="002B2298"/>
    <w:rsid w:val="002E182B"/>
    <w:rsid w:val="00377E06"/>
    <w:rsid w:val="004C3731"/>
    <w:rsid w:val="004C7F69"/>
    <w:rsid w:val="00507397"/>
    <w:rsid w:val="00521B69"/>
    <w:rsid w:val="005B7056"/>
    <w:rsid w:val="005B77D9"/>
    <w:rsid w:val="006130E7"/>
    <w:rsid w:val="00676AD3"/>
    <w:rsid w:val="0069058A"/>
    <w:rsid w:val="00691D04"/>
    <w:rsid w:val="006D4819"/>
    <w:rsid w:val="006F740B"/>
    <w:rsid w:val="007F7621"/>
    <w:rsid w:val="008D414B"/>
    <w:rsid w:val="00905EAC"/>
    <w:rsid w:val="009C5C3C"/>
    <w:rsid w:val="009E2F17"/>
    <w:rsid w:val="009E3C34"/>
    <w:rsid w:val="00A16F3C"/>
    <w:rsid w:val="00A34DE3"/>
    <w:rsid w:val="00A57FE1"/>
    <w:rsid w:val="00B0329B"/>
    <w:rsid w:val="00BC77A9"/>
    <w:rsid w:val="00C0105F"/>
    <w:rsid w:val="00C2648B"/>
    <w:rsid w:val="00C7546E"/>
    <w:rsid w:val="00CD2DDD"/>
    <w:rsid w:val="00CE0540"/>
    <w:rsid w:val="00D632AC"/>
    <w:rsid w:val="00DC3838"/>
    <w:rsid w:val="00DD4E6F"/>
    <w:rsid w:val="00E432FA"/>
    <w:rsid w:val="00E508C7"/>
    <w:rsid w:val="00E81ADD"/>
    <w:rsid w:val="00EC2898"/>
    <w:rsid w:val="00EF430D"/>
    <w:rsid w:val="00F15B6E"/>
    <w:rsid w:val="00F36BE1"/>
    <w:rsid w:val="00F73A20"/>
    <w:rsid w:val="00F74660"/>
    <w:rsid w:val="00FE6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16CD"/>
  <w15:docId w15:val="{20919F59-BCEB-4057-B82F-CD17ECCC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49866">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369</Words>
  <Characters>2033</Characters>
  <Application>Microsoft Office Word</Application>
  <DocSecurity>0</DocSecurity>
  <Lines>16</Lines>
  <Paragraphs>4</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Yulia Jacquemond</cp:lastModifiedBy>
  <cp:revision>48</cp:revision>
  <dcterms:created xsi:type="dcterms:W3CDTF">2016-06-14T14:53:00Z</dcterms:created>
  <dcterms:modified xsi:type="dcterms:W3CDTF">2023-01-09T14:59:00Z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173300</vt:lpwstr>
  </property>
  <property fmtid="{D5CDD505-2E9C-101B-9397-08002B2CF9AE}" pid="3" name="NXPowerLiteSettings">
    <vt:lpwstr>C74006B004C800</vt:lpwstr>
  </property>
  <property fmtid="{D5CDD505-2E9C-101B-9397-08002B2CF9AE}" pid="4" name="NXPowerLiteVersion">
    <vt:lpwstr>S5.2.2</vt:lpwstr>
  </property>
</Properties>
</file>